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page" w:horzAnchor="margin" w:tblpY="2071"/>
        <w:bidiVisual/>
        <w:tblW w:w="0" w:type="auto"/>
        <w:tblBorders>
          <w:top w:val="none" w:sz="0" w:space="0" w:color="auto"/>
          <w:left w:val="none" w:sz="0" w:space="0" w:color="auto"/>
          <w:right w:val="none" w:sz="0" w:space="0" w:color="auto"/>
        </w:tblBorders>
        <w:tblLook w:val="04A0"/>
      </w:tblPr>
      <w:tblGrid>
        <w:gridCol w:w="3080"/>
        <w:gridCol w:w="3081"/>
        <w:gridCol w:w="3081"/>
      </w:tblGrid>
      <w:tr w:rsidR="00A52213" w:rsidTr="00A52213">
        <w:trPr>
          <w:trHeight w:val="1524"/>
        </w:trPr>
        <w:tc>
          <w:tcPr>
            <w:tcW w:w="9242" w:type="dxa"/>
            <w:gridSpan w:val="3"/>
            <w:tcBorders>
              <w:bottom w:val="single" w:sz="4" w:space="0" w:color="000000" w:themeColor="text1"/>
            </w:tcBorders>
          </w:tcPr>
          <w:p w:rsidR="00A52213" w:rsidRDefault="00A52213" w:rsidP="00A52213">
            <w:pPr>
              <w:tabs>
                <w:tab w:val="left" w:pos="4991"/>
              </w:tabs>
              <w:rPr>
                <w:rFonts w:hint="cs"/>
                <w:b/>
                <w:bCs/>
                <w:sz w:val="32"/>
                <w:szCs w:val="32"/>
                <w:lang w:bidi="fa-IR"/>
              </w:rPr>
            </w:pPr>
          </w:p>
          <w:p w:rsidR="00A52213" w:rsidRPr="00C26F39" w:rsidRDefault="00A52213" w:rsidP="00A52213">
            <w:pPr>
              <w:jc w:val="right"/>
              <w:rPr>
                <w:b/>
                <w:bCs/>
                <w:sz w:val="40"/>
                <w:szCs w:val="40"/>
              </w:rPr>
            </w:pPr>
            <w:r w:rsidRPr="00C26F39">
              <w:rPr>
                <w:b/>
                <w:bCs/>
                <w:sz w:val="40"/>
                <w:szCs w:val="40"/>
              </w:rPr>
              <w:t>Critical  Laboratory  Tests  and Values - Hematology</w:t>
            </w:r>
          </w:p>
          <w:p w:rsidR="00A52213" w:rsidRPr="00C26F39" w:rsidRDefault="00A52213" w:rsidP="00A52213">
            <w:pPr>
              <w:jc w:val="right"/>
              <w:rPr>
                <w:sz w:val="32"/>
                <w:szCs w:val="32"/>
              </w:rPr>
            </w:pPr>
          </w:p>
        </w:tc>
      </w:tr>
      <w:tr w:rsidR="00A52213" w:rsidTr="00A52213">
        <w:trPr>
          <w:trHeight w:val="452"/>
        </w:trPr>
        <w:tc>
          <w:tcPr>
            <w:tcW w:w="3080" w:type="dxa"/>
            <w:tcBorders>
              <w:top w:val="single" w:sz="4" w:space="0" w:color="000000" w:themeColor="text1"/>
              <w:left w:val="single" w:sz="4" w:space="0" w:color="000000" w:themeColor="text1"/>
            </w:tcBorders>
          </w:tcPr>
          <w:p w:rsidR="00A52213" w:rsidRPr="001B7DFE" w:rsidRDefault="00A52213" w:rsidP="00A52213">
            <w:pPr>
              <w:jc w:val="center"/>
              <w:rPr>
                <w:b/>
                <w:bCs/>
                <w:sz w:val="32"/>
                <w:szCs w:val="32"/>
              </w:rPr>
            </w:pPr>
            <w:r w:rsidRPr="001B7DFE">
              <w:rPr>
                <w:b/>
                <w:bCs/>
                <w:sz w:val="32"/>
                <w:szCs w:val="32"/>
              </w:rPr>
              <w:t>Greater   than</w:t>
            </w:r>
          </w:p>
        </w:tc>
        <w:tc>
          <w:tcPr>
            <w:tcW w:w="3081" w:type="dxa"/>
            <w:tcBorders>
              <w:top w:val="single" w:sz="4" w:space="0" w:color="000000" w:themeColor="text1"/>
            </w:tcBorders>
          </w:tcPr>
          <w:p w:rsidR="00A52213" w:rsidRPr="001B7DFE" w:rsidRDefault="00A52213" w:rsidP="00A52213">
            <w:pPr>
              <w:jc w:val="center"/>
              <w:rPr>
                <w:b/>
                <w:bCs/>
                <w:sz w:val="32"/>
                <w:szCs w:val="32"/>
              </w:rPr>
            </w:pPr>
            <w:r w:rsidRPr="001B7DFE">
              <w:rPr>
                <w:b/>
                <w:bCs/>
                <w:sz w:val="32"/>
                <w:szCs w:val="32"/>
              </w:rPr>
              <w:t>Less   than</w:t>
            </w:r>
          </w:p>
        </w:tc>
        <w:tc>
          <w:tcPr>
            <w:tcW w:w="3081" w:type="dxa"/>
            <w:tcBorders>
              <w:top w:val="single" w:sz="4" w:space="0" w:color="000000" w:themeColor="text1"/>
              <w:right w:val="single" w:sz="4" w:space="0" w:color="000000" w:themeColor="text1"/>
            </w:tcBorders>
          </w:tcPr>
          <w:p w:rsidR="00A52213" w:rsidRPr="001B7DFE" w:rsidRDefault="00A52213" w:rsidP="00A52213">
            <w:pPr>
              <w:jc w:val="center"/>
              <w:rPr>
                <w:b/>
                <w:bCs/>
                <w:sz w:val="32"/>
                <w:szCs w:val="32"/>
              </w:rPr>
            </w:pPr>
            <w:r w:rsidRPr="001B7DFE">
              <w:rPr>
                <w:b/>
                <w:bCs/>
                <w:sz w:val="32"/>
                <w:szCs w:val="32"/>
              </w:rPr>
              <w:t>Tests</w:t>
            </w:r>
          </w:p>
        </w:tc>
      </w:tr>
      <w:tr w:rsidR="00A52213" w:rsidTr="00A52213">
        <w:trPr>
          <w:trHeight w:val="325"/>
        </w:trPr>
        <w:tc>
          <w:tcPr>
            <w:tcW w:w="3080" w:type="dxa"/>
            <w:tcBorders>
              <w:top w:val="single" w:sz="4" w:space="0" w:color="000000" w:themeColor="text1"/>
              <w:left w:val="single" w:sz="4" w:space="0" w:color="000000" w:themeColor="text1"/>
            </w:tcBorders>
          </w:tcPr>
          <w:p w:rsidR="00A52213" w:rsidRPr="001B7DFE" w:rsidRDefault="00A52213" w:rsidP="00A52213">
            <w:pPr>
              <w:jc w:val="center"/>
              <w:rPr>
                <w:b/>
                <w:bCs/>
              </w:rPr>
            </w:pPr>
            <w:r w:rsidRPr="001B7DFE">
              <w:rPr>
                <w:b/>
                <w:bCs/>
              </w:rPr>
              <w:t>22  gm/dL  (adult)</w:t>
            </w:r>
          </w:p>
        </w:tc>
        <w:tc>
          <w:tcPr>
            <w:tcW w:w="3081" w:type="dxa"/>
            <w:tcBorders>
              <w:top w:val="single" w:sz="4" w:space="0" w:color="000000" w:themeColor="text1"/>
            </w:tcBorders>
          </w:tcPr>
          <w:p w:rsidR="00A52213" w:rsidRPr="001B7DFE" w:rsidRDefault="00A52213" w:rsidP="00A52213">
            <w:pPr>
              <w:jc w:val="center"/>
              <w:rPr>
                <w:b/>
                <w:bCs/>
              </w:rPr>
            </w:pPr>
            <w:r w:rsidRPr="001B7DFE">
              <w:rPr>
                <w:b/>
                <w:bCs/>
              </w:rPr>
              <w:t>6  mg/dL</w:t>
            </w:r>
          </w:p>
        </w:tc>
        <w:tc>
          <w:tcPr>
            <w:tcW w:w="3081" w:type="dxa"/>
            <w:tcBorders>
              <w:top w:val="single" w:sz="4" w:space="0" w:color="000000" w:themeColor="text1"/>
              <w:right w:val="single" w:sz="4" w:space="0" w:color="000000" w:themeColor="text1"/>
            </w:tcBorders>
          </w:tcPr>
          <w:p w:rsidR="00A52213" w:rsidRPr="001B7DFE" w:rsidRDefault="00A52213" w:rsidP="00A52213">
            <w:pPr>
              <w:jc w:val="center"/>
              <w:rPr>
                <w:b/>
                <w:bCs/>
              </w:rPr>
            </w:pPr>
            <w:r w:rsidRPr="001B7DFE">
              <w:rPr>
                <w:b/>
                <w:bCs/>
              </w:rPr>
              <w:t>Hemoglobin</w:t>
            </w:r>
          </w:p>
        </w:tc>
      </w:tr>
      <w:tr w:rsidR="00A52213" w:rsidTr="00A52213">
        <w:trPr>
          <w:trHeight w:val="307"/>
        </w:trPr>
        <w:tc>
          <w:tcPr>
            <w:tcW w:w="3080" w:type="dxa"/>
            <w:tcBorders>
              <w:top w:val="single" w:sz="4" w:space="0" w:color="000000" w:themeColor="text1"/>
              <w:left w:val="single" w:sz="4" w:space="0" w:color="000000" w:themeColor="text1"/>
            </w:tcBorders>
          </w:tcPr>
          <w:p w:rsidR="00A52213" w:rsidRPr="001B7DFE" w:rsidRDefault="00A52213" w:rsidP="00A52213">
            <w:pPr>
              <w:jc w:val="center"/>
              <w:rPr>
                <w:b/>
                <w:bCs/>
              </w:rPr>
            </w:pPr>
            <w:r w:rsidRPr="001B7DFE">
              <w:rPr>
                <w:b/>
                <w:bCs/>
              </w:rPr>
              <w:t>4.0</w:t>
            </w:r>
          </w:p>
        </w:tc>
        <w:tc>
          <w:tcPr>
            <w:tcW w:w="3081" w:type="dxa"/>
            <w:tcBorders>
              <w:top w:val="single" w:sz="4" w:space="0" w:color="000000" w:themeColor="text1"/>
            </w:tcBorders>
          </w:tcPr>
          <w:p w:rsidR="00A52213" w:rsidRPr="001B7DFE" w:rsidRDefault="00A52213" w:rsidP="00A52213">
            <w:pPr>
              <w:jc w:val="center"/>
              <w:rPr>
                <w:b/>
                <w:bCs/>
                <w:rtl/>
              </w:rPr>
            </w:pPr>
          </w:p>
        </w:tc>
        <w:tc>
          <w:tcPr>
            <w:tcW w:w="3081" w:type="dxa"/>
            <w:tcBorders>
              <w:top w:val="single" w:sz="4" w:space="0" w:color="000000" w:themeColor="text1"/>
              <w:right w:val="single" w:sz="4" w:space="0" w:color="000000" w:themeColor="text1"/>
            </w:tcBorders>
          </w:tcPr>
          <w:p w:rsidR="00A52213" w:rsidRPr="001B7DFE" w:rsidRDefault="00A52213" w:rsidP="00A52213">
            <w:pPr>
              <w:jc w:val="center"/>
              <w:rPr>
                <w:b/>
                <w:bCs/>
              </w:rPr>
            </w:pPr>
            <w:r w:rsidRPr="001B7DFE">
              <w:rPr>
                <w:b/>
                <w:bCs/>
              </w:rPr>
              <w:t>INR (venous)</w:t>
            </w:r>
          </w:p>
        </w:tc>
      </w:tr>
      <w:tr w:rsidR="00A52213" w:rsidTr="00A52213">
        <w:trPr>
          <w:trHeight w:val="307"/>
        </w:trPr>
        <w:tc>
          <w:tcPr>
            <w:tcW w:w="3080" w:type="dxa"/>
            <w:tcBorders>
              <w:top w:val="single" w:sz="4" w:space="0" w:color="000000" w:themeColor="text1"/>
              <w:left w:val="single" w:sz="4" w:space="0" w:color="000000" w:themeColor="text1"/>
            </w:tcBorders>
          </w:tcPr>
          <w:p w:rsidR="00A52213" w:rsidRPr="001B7DFE" w:rsidRDefault="00A52213" w:rsidP="00A52213">
            <w:pPr>
              <w:jc w:val="center"/>
              <w:rPr>
                <w:b/>
                <w:bCs/>
              </w:rPr>
            </w:pPr>
            <w:r w:rsidRPr="001B7DFE">
              <w:rPr>
                <w:b/>
                <w:bCs/>
              </w:rPr>
              <w:t>1000 k/mm3</w:t>
            </w:r>
          </w:p>
        </w:tc>
        <w:tc>
          <w:tcPr>
            <w:tcW w:w="3081" w:type="dxa"/>
            <w:tcBorders>
              <w:top w:val="single" w:sz="4" w:space="0" w:color="000000" w:themeColor="text1"/>
            </w:tcBorders>
          </w:tcPr>
          <w:p w:rsidR="00A52213" w:rsidRPr="001B7DFE" w:rsidRDefault="00A52213" w:rsidP="00A52213">
            <w:pPr>
              <w:jc w:val="center"/>
              <w:rPr>
                <w:b/>
                <w:bCs/>
              </w:rPr>
            </w:pPr>
            <w:r w:rsidRPr="001B7DFE">
              <w:rPr>
                <w:b/>
                <w:bCs/>
              </w:rPr>
              <w:t>10  k/ mm3</w:t>
            </w:r>
          </w:p>
        </w:tc>
        <w:tc>
          <w:tcPr>
            <w:tcW w:w="3081" w:type="dxa"/>
            <w:tcBorders>
              <w:top w:val="single" w:sz="4" w:space="0" w:color="000000" w:themeColor="text1"/>
              <w:right w:val="single" w:sz="4" w:space="0" w:color="000000" w:themeColor="text1"/>
            </w:tcBorders>
          </w:tcPr>
          <w:p w:rsidR="00A52213" w:rsidRPr="001B7DFE" w:rsidRDefault="00A52213" w:rsidP="00A52213">
            <w:pPr>
              <w:jc w:val="center"/>
              <w:rPr>
                <w:b/>
                <w:bCs/>
              </w:rPr>
            </w:pPr>
            <w:r w:rsidRPr="001B7DFE">
              <w:rPr>
                <w:b/>
                <w:bCs/>
              </w:rPr>
              <w:t>Platelet  Count</w:t>
            </w:r>
          </w:p>
        </w:tc>
      </w:tr>
      <w:tr w:rsidR="00A52213" w:rsidTr="00A52213">
        <w:trPr>
          <w:trHeight w:val="325"/>
        </w:trPr>
        <w:tc>
          <w:tcPr>
            <w:tcW w:w="3080" w:type="dxa"/>
            <w:tcBorders>
              <w:top w:val="single" w:sz="4" w:space="0" w:color="000000" w:themeColor="text1"/>
              <w:left w:val="single" w:sz="4" w:space="0" w:color="000000" w:themeColor="text1"/>
            </w:tcBorders>
          </w:tcPr>
          <w:p w:rsidR="00A52213" w:rsidRPr="001B7DFE" w:rsidRDefault="00A52213" w:rsidP="00A52213">
            <w:pPr>
              <w:jc w:val="center"/>
              <w:rPr>
                <w:b/>
                <w:bCs/>
              </w:rPr>
            </w:pPr>
            <w:r w:rsidRPr="001B7DFE">
              <w:rPr>
                <w:b/>
                <w:bCs/>
              </w:rPr>
              <w:t>50 seconds</w:t>
            </w:r>
          </w:p>
        </w:tc>
        <w:tc>
          <w:tcPr>
            <w:tcW w:w="3081" w:type="dxa"/>
            <w:tcBorders>
              <w:top w:val="single" w:sz="4" w:space="0" w:color="000000" w:themeColor="text1"/>
            </w:tcBorders>
          </w:tcPr>
          <w:p w:rsidR="00A52213" w:rsidRPr="001B7DFE" w:rsidRDefault="00A52213" w:rsidP="00A52213">
            <w:pPr>
              <w:jc w:val="center"/>
              <w:rPr>
                <w:b/>
                <w:bCs/>
                <w:rtl/>
              </w:rPr>
            </w:pPr>
          </w:p>
        </w:tc>
        <w:tc>
          <w:tcPr>
            <w:tcW w:w="3081" w:type="dxa"/>
            <w:tcBorders>
              <w:top w:val="single" w:sz="4" w:space="0" w:color="000000" w:themeColor="text1"/>
              <w:right w:val="single" w:sz="4" w:space="0" w:color="000000" w:themeColor="text1"/>
            </w:tcBorders>
          </w:tcPr>
          <w:p w:rsidR="00A52213" w:rsidRPr="001B7DFE" w:rsidRDefault="00A52213" w:rsidP="00A52213">
            <w:pPr>
              <w:jc w:val="center"/>
              <w:rPr>
                <w:b/>
                <w:bCs/>
              </w:rPr>
            </w:pPr>
            <w:r w:rsidRPr="001B7DFE">
              <w:rPr>
                <w:b/>
                <w:bCs/>
              </w:rPr>
              <w:t>PTT( Outpatient  )</w:t>
            </w:r>
          </w:p>
        </w:tc>
      </w:tr>
      <w:tr w:rsidR="00A52213" w:rsidTr="00A52213">
        <w:trPr>
          <w:trHeight w:val="325"/>
        </w:trPr>
        <w:tc>
          <w:tcPr>
            <w:tcW w:w="3080" w:type="dxa"/>
            <w:tcBorders>
              <w:top w:val="single" w:sz="4" w:space="0" w:color="000000" w:themeColor="text1"/>
              <w:left w:val="single" w:sz="4" w:space="0" w:color="000000" w:themeColor="text1"/>
            </w:tcBorders>
          </w:tcPr>
          <w:p w:rsidR="00A52213" w:rsidRPr="001B7DFE" w:rsidRDefault="00A52213" w:rsidP="00A52213">
            <w:pPr>
              <w:jc w:val="center"/>
              <w:rPr>
                <w:b/>
                <w:bCs/>
                <w:rtl/>
              </w:rPr>
            </w:pPr>
            <w:r w:rsidRPr="001B7DFE">
              <w:rPr>
                <w:b/>
                <w:bCs/>
              </w:rPr>
              <w:t>50.0 k/mm3</w:t>
            </w:r>
          </w:p>
        </w:tc>
        <w:tc>
          <w:tcPr>
            <w:tcW w:w="3081" w:type="dxa"/>
            <w:tcBorders>
              <w:top w:val="single" w:sz="4" w:space="0" w:color="000000" w:themeColor="text1"/>
            </w:tcBorders>
          </w:tcPr>
          <w:p w:rsidR="00A52213" w:rsidRPr="001B7DFE" w:rsidRDefault="00A52213" w:rsidP="00A52213">
            <w:pPr>
              <w:jc w:val="center"/>
              <w:rPr>
                <w:b/>
                <w:bCs/>
              </w:rPr>
            </w:pPr>
            <w:r w:rsidRPr="001B7DFE">
              <w:rPr>
                <w:b/>
                <w:bCs/>
              </w:rPr>
              <w:t>1.0  k/mm3</w:t>
            </w:r>
          </w:p>
        </w:tc>
        <w:tc>
          <w:tcPr>
            <w:tcW w:w="3081" w:type="dxa"/>
            <w:tcBorders>
              <w:top w:val="single" w:sz="4" w:space="0" w:color="000000" w:themeColor="text1"/>
              <w:right w:val="single" w:sz="4" w:space="0" w:color="000000" w:themeColor="text1"/>
            </w:tcBorders>
          </w:tcPr>
          <w:p w:rsidR="00A52213" w:rsidRPr="001B7DFE" w:rsidRDefault="00A52213" w:rsidP="00A52213">
            <w:pPr>
              <w:jc w:val="center"/>
              <w:rPr>
                <w:b/>
                <w:bCs/>
              </w:rPr>
            </w:pPr>
            <w:r w:rsidRPr="001B7DFE">
              <w:rPr>
                <w:b/>
                <w:bCs/>
              </w:rPr>
              <w:t>WBC</w:t>
            </w:r>
          </w:p>
        </w:tc>
      </w:tr>
      <w:tr w:rsidR="00A52213" w:rsidTr="00A52213">
        <w:trPr>
          <w:trHeight w:val="307"/>
        </w:trPr>
        <w:tc>
          <w:tcPr>
            <w:tcW w:w="3080" w:type="dxa"/>
            <w:tcBorders>
              <w:top w:val="single" w:sz="4" w:space="0" w:color="000000" w:themeColor="text1"/>
              <w:left w:val="single" w:sz="4" w:space="0" w:color="000000" w:themeColor="text1"/>
            </w:tcBorders>
          </w:tcPr>
          <w:p w:rsidR="00A52213" w:rsidRPr="001B7DFE" w:rsidRDefault="00A52213" w:rsidP="00A52213">
            <w:pPr>
              <w:jc w:val="center"/>
              <w:rPr>
                <w:b/>
                <w:bCs/>
              </w:rPr>
            </w:pPr>
            <w:r w:rsidRPr="001B7DFE">
              <w:rPr>
                <w:b/>
                <w:bCs/>
              </w:rPr>
              <w:t>55%</w:t>
            </w:r>
          </w:p>
        </w:tc>
        <w:tc>
          <w:tcPr>
            <w:tcW w:w="3081" w:type="dxa"/>
            <w:tcBorders>
              <w:top w:val="single" w:sz="4" w:space="0" w:color="000000" w:themeColor="text1"/>
            </w:tcBorders>
          </w:tcPr>
          <w:p w:rsidR="00A52213" w:rsidRPr="001B7DFE" w:rsidRDefault="00A52213" w:rsidP="00A52213">
            <w:pPr>
              <w:jc w:val="center"/>
              <w:rPr>
                <w:b/>
                <w:bCs/>
              </w:rPr>
            </w:pPr>
            <w:r w:rsidRPr="001B7DFE">
              <w:rPr>
                <w:b/>
                <w:bCs/>
              </w:rPr>
              <w:t>18%</w:t>
            </w:r>
          </w:p>
        </w:tc>
        <w:tc>
          <w:tcPr>
            <w:tcW w:w="3081" w:type="dxa"/>
            <w:tcBorders>
              <w:top w:val="single" w:sz="4" w:space="0" w:color="000000" w:themeColor="text1"/>
              <w:right w:val="single" w:sz="4" w:space="0" w:color="000000" w:themeColor="text1"/>
            </w:tcBorders>
          </w:tcPr>
          <w:p w:rsidR="00A52213" w:rsidRPr="001B7DFE" w:rsidRDefault="00A52213" w:rsidP="00A52213">
            <w:pPr>
              <w:jc w:val="center"/>
              <w:rPr>
                <w:b/>
                <w:bCs/>
              </w:rPr>
            </w:pPr>
            <w:r w:rsidRPr="001B7DFE">
              <w:rPr>
                <w:b/>
                <w:bCs/>
              </w:rPr>
              <w:t>Hematocrit</w:t>
            </w:r>
          </w:p>
        </w:tc>
      </w:tr>
      <w:tr w:rsidR="00A52213" w:rsidTr="00A52213">
        <w:trPr>
          <w:trHeight w:val="325"/>
        </w:trPr>
        <w:tc>
          <w:tcPr>
            <w:tcW w:w="3080" w:type="dxa"/>
            <w:tcBorders>
              <w:top w:val="single" w:sz="4" w:space="0" w:color="000000" w:themeColor="text1"/>
              <w:left w:val="single" w:sz="4" w:space="0" w:color="000000" w:themeColor="text1"/>
            </w:tcBorders>
          </w:tcPr>
          <w:p w:rsidR="00A52213" w:rsidRPr="001B7DFE" w:rsidRDefault="00A52213" w:rsidP="00A52213">
            <w:pPr>
              <w:jc w:val="center"/>
              <w:rPr>
                <w:b/>
                <w:bCs/>
                <w:rtl/>
              </w:rPr>
            </w:pPr>
          </w:p>
        </w:tc>
        <w:tc>
          <w:tcPr>
            <w:tcW w:w="3081" w:type="dxa"/>
            <w:tcBorders>
              <w:top w:val="single" w:sz="4" w:space="0" w:color="000000" w:themeColor="text1"/>
            </w:tcBorders>
          </w:tcPr>
          <w:p w:rsidR="00A52213" w:rsidRPr="001B7DFE" w:rsidRDefault="00A52213" w:rsidP="00A52213">
            <w:pPr>
              <w:jc w:val="center"/>
              <w:rPr>
                <w:b/>
                <w:bCs/>
              </w:rPr>
            </w:pPr>
            <w:r w:rsidRPr="001B7DFE">
              <w:rPr>
                <w:b/>
                <w:bCs/>
              </w:rPr>
              <w:t>20%</w:t>
            </w:r>
          </w:p>
        </w:tc>
        <w:tc>
          <w:tcPr>
            <w:tcW w:w="3081" w:type="dxa"/>
            <w:tcBorders>
              <w:top w:val="single" w:sz="4" w:space="0" w:color="000000" w:themeColor="text1"/>
              <w:right w:val="single" w:sz="4" w:space="0" w:color="000000" w:themeColor="text1"/>
            </w:tcBorders>
          </w:tcPr>
          <w:p w:rsidR="00A52213" w:rsidRPr="001B7DFE" w:rsidRDefault="00A52213" w:rsidP="00A52213">
            <w:pPr>
              <w:jc w:val="center"/>
              <w:rPr>
                <w:b/>
                <w:bCs/>
              </w:rPr>
            </w:pPr>
            <w:r w:rsidRPr="001B7DFE">
              <w:rPr>
                <w:b/>
                <w:bCs/>
              </w:rPr>
              <w:t>Hematocrit (0  to  6 months)</w:t>
            </w:r>
          </w:p>
        </w:tc>
      </w:tr>
    </w:tbl>
    <w:p w:rsidR="00784912" w:rsidRDefault="00926399" w:rsidP="00A52213">
      <w:r>
        <w:rPr>
          <w:noProof/>
        </w:rPr>
        <w:pict>
          <v:roundrect id="_x0000_s1026" style="position:absolute;left:0;text-align:left;margin-left:414.75pt;margin-top:-57.45pt;width:75pt;height:74.25pt;z-index:251658240;mso-position-horizontal-relative:text;mso-position-vertical-relative:text" arcsize="10923f" strokecolor="white [3212]">
            <v:fill r:id="rId8" o:title="marja 004" recolor="t" rotate="t" type="frame"/>
            <w10:wrap anchorx="page"/>
          </v:roundrect>
        </w:pict>
      </w:r>
    </w:p>
    <w:p w:rsidR="00FF6398" w:rsidRPr="00C26F39" w:rsidRDefault="00FF6398" w:rsidP="00FF6398">
      <w:pPr>
        <w:jc w:val="right"/>
        <w:rPr>
          <w:b/>
          <w:bCs/>
          <w:sz w:val="40"/>
          <w:szCs w:val="40"/>
        </w:rPr>
      </w:pPr>
      <w:r w:rsidRPr="00C26F39">
        <w:rPr>
          <w:b/>
          <w:bCs/>
          <w:sz w:val="40"/>
          <w:szCs w:val="40"/>
        </w:rPr>
        <w:t>Critical  Laboratory</w:t>
      </w:r>
      <w:r>
        <w:rPr>
          <w:b/>
          <w:bCs/>
          <w:sz w:val="40"/>
          <w:szCs w:val="40"/>
        </w:rPr>
        <w:t xml:space="preserve">  Tests  and Values - Biochemistry</w:t>
      </w:r>
    </w:p>
    <w:tbl>
      <w:tblPr>
        <w:tblStyle w:val="TableGrid"/>
        <w:tblpPr w:leftFromText="180" w:rightFromText="180" w:vertAnchor="text" w:horzAnchor="margin" w:tblpY="220"/>
        <w:bidiVisual/>
        <w:tblW w:w="9072" w:type="dxa"/>
        <w:tblInd w:w="-1549" w:type="dxa"/>
        <w:tblLook w:val="04A0"/>
      </w:tblPr>
      <w:tblGrid>
        <w:gridCol w:w="5386"/>
        <w:gridCol w:w="1985"/>
        <w:gridCol w:w="1701"/>
      </w:tblGrid>
      <w:tr w:rsidR="00FF6398" w:rsidRPr="007B59EB" w:rsidTr="00FF6398">
        <w:trPr>
          <w:trHeight w:val="475"/>
        </w:trPr>
        <w:tc>
          <w:tcPr>
            <w:tcW w:w="5386" w:type="dxa"/>
            <w:tcBorders>
              <w:left w:val="thickThinSmallGap" w:sz="24" w:space="0" w:color="auto"/>
            </w:tcBorders>
            <w:vAlign w:val="center"/>
          </w:tcPr>
          <w:p w:rsidR="00FF6398" w:rsidRPr="007B59EB" w:rsidRDefault="00FF6398" w:rsidP="00FF6398">
            <w:pPr>
              <w:jc w:val="center"/>
              <w:rPr>
                <w:sz w:val="28"/>
                <w:szCs w:val="28"/>
              </w:rPr>
            </w:pPr>
            <w:r w:rsidRPr="007B59EB">
              <w:rPr>
                <w:sz w:val="28"/>
                <w:szCs w:val="28"/>
              </w:rPr>
              <w:t>Critical values</w:t>
            </w:r>
          </w:p>
        </w:tc>
        <w:tc>
          <w:tcPr>
            <w:tcW w:w="1985" w:type="dxa"/>
            <w:vAlign w:val="center"/>
          </w:tcPr>
          <w:p w:rsidR="00FF6398" w:rsidRPr="007B59EB" w:rsidRDefault="00FF6398" w:rsidP="00FF6398">
            <w:pPr>
              <w:jc w:val="center"/>
              <w:rPr>
                <w:sz w:val="28"/>
                <w:szCs w:val="28"/>
              </w:rPr>
            </w:pPr>
            <w:r w:rsidRPr="007B59EB">
              <w:rPr>
                <w:sz w:val="28"/>
                <w:szCs w:val="28"/>
              </w:rPr>
              <w:t>Patient Age</w:t>
            </w:r>
          </w:p>
        </w:tc>
        <w:tc>
          <w:tcPr>
            <w:tcW w:w="1701" w:type="dxa"/>
            <w:vAlign w:val="center"/>
          </w:tcPr>
          <w:p w:rsidR="00FF6398" w:rsidRPr="007B59EB" w:rsidRDefault="00FF6398" w:rsidP="00FF6398">
            <w:pPr>
              <w:jc w:val="center"/>
              <w:rPr>
                <w:sz w:val="28"/>
                <w:szCs w:val="28"/>
              </w:rPr>
            </w:pPr>
            <w:r w:rsidRPr="007B59EB">
              <w:rPr>
                <w:sz w:val="28"/>
                <w:szCs w:val="28"/>
              </w:rPr>
              <w:t>test</w:t>
            </w:r>
          </w:p>
        </w:tc>
      </w:tr>
      <w:tr w:rsidR="00FF6398" w:rsidRPr="007B59EB" w:rsidTr="00FF6398">
        <w:trPr>
          <w:trHeight w:val="595"/>
        </w:trPr>
        <w:tc>
          <w:tcPr>
            <w:tcW w:w="5386" w:type="dxa"/>
            <w:tcBorders>
              <w:left w:val="thickThinSmallGap" w:sz="24" w:space="0" w:color="auto"/>
            </w:tcBorders>
          </w:tcPr>
          <w:p w:rsidR="00FF6398" w:rsidRPr="007B59EB" w:rsidRDefault="00FF6398" w:rsidP="00FF6398">
            <w:pPr>
              <w:jc w:val="center"/>
              <w:rPr>
                <w:sz w:val="24"/>
                <w:szCs w:val="24"/>
              </w:rPr>
            </w:pPr>
            <w:r>
              <w:rPr>
                <w:rFonts w:hint="cs"/>
                <w:sz w:val="24"/>
                <w:szCs w:val="24"/>
              </w:rPr>
              <w:sym w:font="Symbol" w:char="F0B3"/>
            </w:r>
            <w:r>
              <w:rPr>
                <w:sz w:val="24"/>
                <w:szCs w:val="24"/>
              </w:rPr>
              <w:t xml:space="preserve"> 15 mg/dl</w:t>
            </w:r>
          </w:p>
        </w:tc>
        <w:tc>
          <w:tcPr>
            <w:tcW w:w="1985" w:type="dxa"/>
          </w:tcPr>
          <w:p w:rsidR="00FF6398" w:rsidRPr="007B59EB" w:rsidRDefault="00FF6398" w:rsidP="00FF6398">
            <w:pPr>
              <w:jc w:val="center"/>
              <w:rPr>
                <w:sz w:val="24"/>
                <w:szCs w:val="24"/>
              </w:rPr>
            </w:pPr>
            <w:r>
              <w:rPr>
                <w:sz w:val="24"/>
                <w:szCs w:val="24"/>
              </w:rPr>
              <w:t>0 to 7 days</w:t>
            </w:r>
          </w:p>
        </w:tc>
        <w:tc>
          <w:tcPr>
            <w:tcW w:w="1701" w:type="dxa"/>
            <w:vMerge w:val="restart"/>
            <w:vAlign w:val="center"/>
          </w:tcPr>
          <w:p w:rsidR="00FF6398" w:rsidRPr="007B59EB" w:rsidRDefault="00FF6398" w:rsidP="00FF6398">
            <w:pPr>
              <w:ind w:left="720" w:hanging="720"/>
              <w:jc w:val="center"/>
              <w:rPr>
                <w:sz w:val="24"/>
                <w:szCs w:val="24"/>
                <w:rtl/>
              </w:rPr>
            </w:pPr>
            <w:r w:rsidRPr="007B59EB">
              <w:rPr>
                <w:sz w:val="24"/>
                <w:szCs w:val="24"/>
              </w:rPr>
              <w:t>B</w:t>
            </w:r>
            <w:r>
              <w:rPr>
                <w:sz w:val="24"/>
                <w:szCs w:val="24"/>
              </w:rPr>
              <w:t>ilirubin Total</w:t>
            </w:r>
          </w:p>
        </w:tc>
      </w:tr>
      <w:tr w:rsidR="00FF6398" w:rsidRPr="007B59EB" w:rsidTr="00FF6398">
        <w:trPr>
          <w:trHeight w:val="595"/>
        </w:trPr>
        <w:tc>
          <w:tcPr>
            <w:tcW w:w="5386" w:type="dxa"/>
            <w:tcBorders>
              <w:left w:val="thickThinSmallGap" w:sz="24" w:space="0" w:color="auto"/>
            </w:tcBorders>
            <w:vAlign w:val="center"/>
          </w:tcPr>
          <w:p w:rsidR="00FF6398" w:rsidRPr="007B59EB" w:rsidRDefault="00FF6398" w:rsidP="00FF6398">
            <w:pPr>
              <w:jc w:val="center"/>
              <w:rPr>
                <w:sz w:val="24"/>
                <w:szCs w:val="24"/>
                <w:rtl/>
              </w:rPr>
            </w:pPr>
            <w:r>
              <w:rPr>
                <w:rFonts w:hint="cs"/>
                <w:sz w:val="24"/>
                <w:szCs w:val="24"/>
              </w:rPr>
              <w:sym w:font="Symbol" w:char="F0B3"/>
            </w:r>
            <w:r>
              <w:rPr>
                <w:sz w:val="24"/>
                <w:szCs w:val="24"/>
              </w:rPr>
              <w:t xml:space="preserve"> 20 mg/dl</w:t>
            </w:r>
          </w:p>
        </w:tc>
        <w:tc>
          <w:tcPr>
            <w:tcW w:w="1985" w:type="dxa"/>
            <w:vAlign w:val="center"/>
          </w:tcPr>
          <w:p w:rsidR="00FF6398" w:rsidRPr="007B59EB" w:rsidRDefault="00FF6398" w:rsidP="00FF6398">
            <w:pPr>
              <w:jc w:val="center"/>
              <w:rPr>
                <w:sz w:val="24"/>
                <w:szCs w:val="24"/>
              </w:rPr>
            </w:pPr>
            <w:r>
              <w:rPr>
                <w:sz w:val="24"/>
                <w:szCs w:val="24"/>
              </w:rPr>
              <w:t>1 Week to 1 month</w:t>
            </w:r>
          </w:p>
        </w:tc>
        <w:tc>
          <w:tcPr>
            <w:tcW w:w="1701" w:type="dxa"/>
            <w:vMerge/>
            <w:vAlign w:val="center"/>
          </w:tcPr>
          <w:p w:rsidR="00FF6398" w:rsidRPr="007B59EB" w:rsidRDefault="00FF6398" w:rsidP="00FF6398">
            <w:pPr>
              <w:jc w:val="center"/>
              <w:rPr>
                <w:sz w:val="24"/>
                <w:szCs w:val="24"/>
                <w:rtl/>
              </w:rPr>
            </w:pPr>
          </w:p>
        </w:tc>
      </w:tr>
      <w:tr w:rsidR="00FF6398" w:rsidRPr="007B59EB" w:rsidTr="00FF6398">
        <w:trPr>
          <w:trHeight w:val="289"/>
        </w:trPr>
        <w:tc>
          <w:tcPr>
            <w:tcW w:w="5386" w:type="dxa"/>
            <w:tcBorders>
              <w:left w:val="thickThinSmallGap" w:sz="24" w:space="0" w:color="auto"/>
            </w:tcBorders>
            <w:vAlign w:val="center"/>
          </w:tcPr>
          <w:p w:rsidR="00FF6398" w:rsidRPr="00D40316" w:rsidRDefault="00FF6398" w:rsidP="00FF6398">
            <w:pPr>
              <w:pStyle w:val="ListParagraph"/>
              <w:rPr>
                <w:sz w:val="24"/>
                <w:szCs w:val="24"/>
                <w:rtl/>
              </w:rPr>
            </w:pPr>
            <w:r>
              <w:rPr>
                <w:sz w:val="24"/>
                <w:szCs w:val="24"/>
              </w:rPr>
              <w:t xml:space="preserve">&lt;    5  mg/dl                   </w:t>
            </w:r>
            <w:r>
              <w:rPr>
                <w:rFonts w:hint="cs"/>
                <w:sz w:val="24"/>
                <w:szCs w:val="24"/>
                <w:rtl/>
              </w:rPr>
              <w:t xml:space="preserve"> </w:t>
            </w:r>
          </w:p>
        </w:tc>
        <w:tc>
          <w:tcPr>
            <w:tcW w:w="1985" w:type="dxa"/>
            <w:vMerge w:val="restart"/>
            <w:vAlign w:val="center"/>
          </w:tcPr>
          <w:p w:rsidR="00FF6398" w:rsidRPr="007B59EB" w:rsidRDefault="00FF6398" w:rsidP="00FF6398">
            <w:pPr>
              <w:jc w:val="center"/>
              <w:rPr>
                <w:sz w:val="24"/>
                <w:szCs w:val="24"/>
              </w:rPr>
            </w:pPr>
            <w:r>
              <w:rPr>
                <w:sz w:val="24"/>
                <w:szCs w:val="24"/>
              </w:rPr>
              <w:t>AII</w:t>
            </w:r>
          </w:p>
        </w:tc>
        <w:tc>
          <w:tcPr>
            <w:tcW w:w="1701" w:type="dxa"/>
            <w:vMerge w:val="restart"/>
            <w:vAlign w:val="center"/>
          </w:tcPr>
          <w:p w:rsidR="00FF6398" w:rsidRPr="007B59EB" w:rsidRDefault="00FF6398" w:rsidP="00FF6398">
            <w:pPr>
              <w:jc w:val="center"/>
              <w:rPr>
                <w:sz w:val="24"/>
                <w:szCs w:val="24"/>
              </w:rPr>
            </w:pPr>
            <w:r>
              <w:rPr>
                <w:sz w:val="24"/>
                <w:szCs w:val="24"/>
              </w:rPr>
              <w:t>Calcium</w:t>
            </w:r>
          </w:p>
        </w:tc>
      </w:tr>
      <w:tr w:rsidR="00FF6398" w:rsidRPr="007B59EB" w:rsidTr="00FF6398">
        <w:trPr>
          <w:trHeight w:val="289"/>
        </w:trPr>
        <w:tc>
          <w:tcPr>
            <w:tcW w:w="5386" w:type="dxa"/>
            <w:tcBorders>
              <w:left w:val="thickThinSmallGap" w:sz="24" w:space="0" w:color="auto"/>
            </w:tcBorders>
            <w:vAlign w:val="center"/>
          </w:tcPr>
          <w:p w:rsidR="00FF6398" w:rsidRPr="007B59EB" w:rsidRDefault="00FF6398" w:rsidP="00FF6398">
            <w:pPr>
              <w:jc w:val="center"/>
              <w:rPr>
                <w:sz w:val="24"/>
                <w:szCs w:val="24"/>
                <w:rtl/>
              </w:rPr>
            </w:pPr>
            <w:r>
              <w:rPr>
                <w:sz w:val="24"/>
                <w:szCs w:val="24"/>
              </w:rPr>
              <w:t>mg/dl</w:t>
            </w:r>
            <w:r>
              <w:rPr>
                <w:rFonts w:hint="cs"/>
                <w:sz w:val="24"/>
                <w:szCs w:val="24"/>
                <w:rtl/>
              </w:rPr>
              <w:t xml:space="preserve"> </w:t>
            </w:r>
            <w:r>
              <w:rPr>
                <w:sz w:val="24"/>
                <w:szCs w:val="24"/>
              </w:rPr>
              <w:t xml:space="preserve"> 13 </w:t>
            </w:r>
            <w:r>
              <w:rPr>
                <w:rFonts w:hint="cs"/>
                <w:sz w:val="24"/>
                <w:szCs w:val="24"/>
                <w:rtl/>
              </w:rPr>
              <w:t>&lt;</w:t>
            </w:r>
          </w:p>
        </w:tc>
        <w:tc>
          <w:tcPr>
            <w:tcW w:w="1985" w:type="dxa"/>
            <w:vMerge/>
            <w:vAlign w:val="center"/>
          </w:tcPr>
          <w:p w:rsidR="00FF6398" w:rsidRPr="007B59EB" w:rsidRDefault="00FF6398" w:rsidP="00FF6398">
            <w:pPr>
              <w:jc w:val="center"/>
              <w:rPr>
                <w:sz w:val="24"/>
                <w:szCs w:val="24"/>
                <w:rtl/>
              </w:rPr>
            </w:pPr>
          </w:p>
        </w:tc>
        <w:tc>
          <w:tcPr>
            <w:tcW w:w="1701" w:type="dxa"/>
            <w:vMerge/>
            <w:vAlign w:val="center"/>
          </w:tcPr>
          <w:p w:rsidR="00FF6398" w:rsidRPr="007B59EB" w:rsidRDefault="00FF6398" w:rsidP="00FF6398">
            <w:pPr>
              <w:jc w:val="center"/>
              <w:rPr>
                <w:sz w:val="24"/>
                <w:szCs w:val="24"/>
                <w:rtl/>
              </w:rPr>
            </w:pPr>
          </w:p>
        </w:tc>
      </w:tr>
      <w:tr w:rsidR="00FF6398" w:rsidRPr="007B59EB" w:rsidTr="00FF6398">
        <w:trPr>
          <w:trHeight w:val="609"/>
        </w:trPr>
        <w:tc>
          <w:tcPr>
            <w:tcW w:w="5386" w:type="dxa"/>
            <w:tcBorders>
              <w:left w:val="thickThinSmallGap" w:sz="24" w:space="0" w:color="auto"/>
            </w:tcBorders>
            <w:vAlign w:val="center"/>
          </w:tcPr>
          <w:p w:rsidR="00FF6398" w:rsidRPr="007B59EB" w:rsidRDefault="00FF6398" w:rsidP="00FF6398">
            <w:pPr>
              <w:jc w:val="center"/>
              <w:rPr>
                <w:sz w:val="24"/>
                <w:szCs w:val="24"/>
              </w:rPr>
            </w:pPr>
            <w:r>
              <w:rPr>
                <w:rFonts w:hint="cs"/>
                <w:sz w:val="24"/>
                <w:szCs w:val="24"/>
              </w:rPr>
              <w:sym w:font="Symbol" w:char="F0A3"/>
            </w:r>
            <w:r>
              <w:rPr>
                <w:sz w:val="24"/>
                <w:szCs w:val="24"/>
              </w:rPr>
              <w:t xml:space="preserve">  40 mg/dl</w:t>
            </w:r>
            <w:r>
              <w:rPr>
                <w:sz w:val="24"/>
                <w:szCs w:val="24"/>
              </w:rPr>
              <w:t xml:space="preserve">  , &gt;450 mg/d</w:t>
            </w:r>
          </w:p>
        </w:tc>
        <w:tc>
          <w:tcPr>
            <w:tcW w:w="1985" w:type="dxa"/>
            <w:vAlign w:val="center"/>
          </w:tcPr>
          <w:p w:rsidR="00FF6398" w:rsidRPr="007B59EB" w:rsidRDefault="00FF6398" w:rsidP="00FF6398">
            <w:pPr>
              <w:jc w:val="center"/>
              <w:rPr>
                <w:sz w:val="24"/>
                <w:szCs w:val="24"/>
                <w:rtl/>
              </w:rPr>
            </w:pPr>
            <w:r>
              <w:rPr>
                <w:sz w:val="24"/>
                <w:szCs w:val="24"/>
              </w:rPr>
              <w:t>AII</w:t>
            </w:r>
          </w:p>
        </w:tc>
        <w:tc>
          <w:tcPr>
            <w:tcW w:w="1701" w:type="dxa"/>
            <w:vAlign w:val="center"/>
          </w:tcPr>
          <w:p w:rsidR="00FF6398" w:rsidRPr="007B59EB" w:rsidRDefault="00FF6398" w:rsidP="00FF6398">
            <w:pPr>
              <w:jc w:val="center"/>
              <w:rPr>
                <w:sz w:val="24"/>
                <w:szCs w:val="24"/>
              </w:rPr>
            </w:pPr>
            <w:r>
              <w:rPr>
                <w:sz w:val="24"/>
                <w:szCs w:val="24"/>
              </w:rPr>
              <w:t>Glucose</w:t>
            </w:r>
          </w:p>
        </w:tc>
      </w:tr>
    </w:tbl>
    <w:p w:rsidR="00FF6398" w:rsidRDefault="00FF6398" w:rsidP="00FF6398">
      <w:pPr>
        <w:bidi w:val="0"/>
        <w:jc w:val="right"/>
      </w:pPr>
      <w:r>
        <w:rPr>
          <w:noProof/>
        </w:rPr>
        <w:pict>
          <v:roundrect id="_x0000_s1027" style="position:absolute;left:0;text-align:left;margin-left:-5.25pt;margin-top:174.45pt;width:462pt;height:219.7pt;z-index:251659264;mso-position-horizontal-relative:text;mso-position-vertical-relative:text" arcsize="10923f">
            <v:textbox>
              <w:txbxContent>
                <w:p w:rsidR="00A52213" w:rsidRPr="00A52213" w:rsidRDefault="00A52213" w:rsidP="00A52213">
                  <w:pPr>
                    <w:jc w:val="center"/>
                    <w:rPr>
                      <w:rFonts w:hint="cs"/>
                      <w:sz w:val="28"/>
                      <w:szCs w:val="28"/>
                      <w:rtl/>
                    </w:rPr>
                  </w:pPr>
                  <w:r w:rsidRPr="00A52213">
                    <w:rPr>
                      <w:rFonts w:hint="cs"/>
                      <w:sz w:val="28"/>
                      <w:szCs w:val="28"/>
                      <w:rtl/>
                    </w:rPr>
                    <w:t>معیار های رد و قبول نمونه</w:t>
                  </w:r>
                </w:p>
                <w:p w:rsidR="00A52213" w:rsidRPr="00A52213" w:rsidRDefault="00A52213">
                  <w:pPr>
                    <w:rPr>
                      <w:rFonts w:hint="cs"/>
                      <w:b/>
                      <w:bCs/>
                      <w:rtl/>
                    </w:rPr>
                  </w:pPr>
                  <w:r w:rsidRPr="00A52213">
                    <w:rPr>
                      <w:rFonts w:hint="cs"/>
                      <w:b/>
                      <w:bCs/>
                      <w:rtl/>
                    </w:rPr>
                    <w:t>بیوشیمی :     سرم های دارای همولیز و سرم های لیپمیک ، شیری رنگ و عدم ناشتایی  جهت انجام آزمایشات بیوشیمی قابل پذیرش نیست .</w:t>
                  </w:r>
                </w:p>
                <w:p w:rsidR="00A52213" w:rsidRPr="00A52213" w:rsidRDefault="00A52213">
                  <w:pPr>
                    <w:rPr>
                      <w:rFonts w:hint="cs"/>
                      <w:b/>
                      <w:bCs/>
                      <w:rtl/>
                    </w:rPr>
                  </w:pPr>
                  <w:r w:rsidRPr="00A52213">
                    <w:rPr>
                      <w:rFonts w:hint="cs"/>
                      <w:b/>
                      <w:bCs/>
                      <w:rtl/>
                    </w:rPr>
                    <w:t xml:space="preserve">هماتولوژی :    </w:t>
                  </w:r>
                  <w:r w:rsidRPr="00A52213">
                    <w:rPr>
                      <w:b/>
                      <w:bCs/>
                    </w:rPr>
                    <w:t xml:space="preserve">CBC </w:t>
                  </w:r>
                  <w:r w:rsidRPr="00A52213">
                    <w:rPr>
                      <w:rFonts w:hint="cs"/>
                      <w:b/>
                      <w:bCs/>
                      <w:rtl/>
                    </w:rPr>
                    <w:t xml:space="preserve"> های لیز ویا کمتر از میزان مورد قبول که نسبت ضد اعقاد به خون به خوبی رعایت نشوند نیز قابل پذیرش نیستند .</w:t>
                  </w:r>
                </w:p>
                <w:p w:rsidR="00A52213" w:rsidRPr="00A52213" w:rsidRDefault="00A52213">
                  <w:pPr>
                    <w:rPr>
                      <w:rFonts w:hint="cs"/>
                      <w:b/>
                      <w:bCs/>
                      <w:rtl/>
                    </w:rPr>
                  </w:pPr>
                  <w:r w:rsidRPr="00A52213">
                    <w:rPr>
                      <w:rFonts w:hint="cs"/>
                      <w:b/>
                      <w:bCs/>
                      <w:rtl/>
                    </w:rPr>
                    <w:t xml:space="preserve">کامل ادرار :    ادرار کمتر از </w:t>
                  </w:r>
                  <w:r w:rsidRPr="00A52213">
                    <w:rPr>
                      <w:b/>
                      <w:bCs/>
                    </w:rPr>
                    <w:t>cc</w:t>
                  </w:r>
                  <w:r w:rsidRPr="00A52213">
                    <w:rPr>
                      <w:rFonts w:hint="cs"/>
                      <w:b/>
                      <w:bCs/>
                      <w:rtl/>
                    </w:rPr>
                    <w:t xml:space="preserve"> 10 ویا حداقل </w:t>
                  </w:r>
                  <w:r w:rsidRPr="00A52213">
                    <w:rPr>
                      <w:b/>
                      <w:bCs/>
                    </w:rPr>
                    <w:t>cc</w:t>
                  </w:r>
                  <w:r w:rsidRPr="00A52213">
                    <w:rPr>
                      <w:rFonts w:hint="cs"/>
                      <w:b/>
                      <w:bCs/>
                      <w:rtl/>
                    </w:rPr>
                    <w:t xml:space="preserve"> 5 غیر قابل پذیرشند . </w:t>
                  </w:r>
                </w:p>
                <w:p w:rsidR="00A52213" w:rsidRPr="00A52213" w:rsidRDefault="00A52213">
                  <w:pPr>
                    <w:rPr>
                      <w:rFonts w:hint="cs"/>
                      <w:b/>
                      <w:bCs/>
                      <w:rtl/>
                    </w:rPr>
                  </w:pPr>
                  <w:r w:rsidRPr="00A52213">
                    <w:rPr>
                      <w:rFonts w:hint="cs"/>
                      <w:b/>
                      <w:bCs/>
                      <w:rtl/>
                    </w:rPr>
                    <w:t xml:space="preserve">مصرف داروهایی که در روند انجام آزمایش تاثیر گذار هستند به حسب نوع آزمایش انجام شده باعث عدم پذیرش بیمار برای گرفتن نمونه میشود مثال مصرف آنتی بیوتیک قبل از گرفتن کشت ادرار </w:t>
                  </w:r>
                </w:p>
              </w:txbxContent>
            </v:textbox>
            <w10:wrap anchorx="page"/>
          </v:roundrect>
        </w:pict>
      </w:r>
    </w:p>
    <w:p w:rsidR="00FF6398" w:rsidRDefault="00FF6398" w:rsidP="00FF6398">
      <w:pPr>
        <w:bidi w:val="0"/>
        <w:jc w:val="right"/>
      </w:pPr>
    </w:p>
    <w:p w:rsidR="00FF6398" w:rsidRPr="00221BD4" w:rsidRDefault="00FF6398" w:rsidP="00FF6398">
      <w:pPr>
        <w:bidi w:val="0"/>
        <w:jc w:val="right"/>
      </w:pPr>
    </w:p>
    <w:sectPr w:rsidR="00FF6398" w:rsidRPr="00221BD4" w:rsidSect="00F75844">
      <w:headerReference w:type="default" r:id="rId9"/>
      <w:footerReference w:type="default" r:id="rId10"/>
      <w:pgSz w:w="11906" w:h="16838"/>
      <w:pgMar w:top="1440" w:right="1440" w:bottom="1440" w:left="1440" w:header="708" w:footer="708" w:gutter="0"/>
      <w:pgBorders w:offsetFrom="page">
        <w:top w:val="thickThinSmallGap" w:sz="12" w:space="24" w:color="auto"/>
        <w:left w:val="thickThinSmallGap" w:sz="12" w:space="24" w:color="auto"/>
        <w:bottom w:val="thinThickSmallGap" w:sz="12" w:space="24" w:color="auto"/>
        <w:right w:val="thinThickSmallGap" w:sz="12"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4A33" w:rsidRDefault="006C4A33" w:rsidP="009162AD">
      <w:pPr>
        <w:spacing w:after="0" w:line="240" w:lineRule="auto"/>
      </w:pPr>
      <w:r>
        <w:separator/>
      </w:r>
    </w:p>
  </w:endnote>
  <w:endnote w:type="continuationSeparator" w:id="1">
    <w:p w:rsidR="006C4A33" w:rsidRDefault="006C4A33" w:rsidP="009162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049" w:rsidRDefault="0011534F" w:rsidP="0011534F">
    <w:pPr>
      <w:pStyle w:val="Footer"/>
    </w:pPr>
    <w:r>
      <w:rPr>
        <w:rFonts w:asciiTheme="majorHAnsi" w:hAnsiTheme="majorHAnsi" w:hint="cs"/>
        <w:rtl/>
      </w:rPr>
      <w:t xml:space="preserve">تاریخ بازنگری: </w:t>
    </w:r>
    <w:r w:rsidRPr="0011534F">
      <w:rPr>
        <w:rFonts w:asciiTheme="majorHAnsi" w:hAnsiTheme="majorHAnsi"/>
      </w:rPr>
      <w:ptab w:relativeTo="margin" w:alignment="center" w:leader="none"/>
    </w:r>
    <w:r>
      <w:rPr>
        <w:rFonts w:asciiTheme="majorHAnsi" w:hAnsiTheme="majorHAnsi" w:hint="cs"/>
        <w:rtl/>
      </w:rPr>
      <w:t>نام مرکز:</w:t>
    </w:r>
    <w:r w:rsidRPr="0011534F">
      <w:rPr>
        <w:rFonts w:asciiTheme="majorHAnsi" w:hAnsiTheme="majorHAnsi"/>
      </w:rPr>
      <w:ptab w:relativeTo="margin" w:alignment="right" w:leader="none"/>
    </w:r>
    <w:r>
      <w:rPr>
        <w:rFonts w:asciiTheme="majorHAnsi" w:hAnsiTheme="majorHAnsi" w:hint="cs"/>
        <w:rtl/>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4A33" w:rsidRDefault="006C4A33" w:rsidP="009162AD">
      <w:pPr>
        <w:spacing w:after="0" w:line="240" w:lineRule="auto"/>
      </w:pPr>
      <w:r>
        <w:separator/>
      </w:r>
    </w:p>
  </w:footnote>
  <w:footnote w:type="continuationSeparator" w:id="1">
    <w:p w:rsidR="006C4A33" w:rsidRDefault="006C4A33" w:rsidP="009162A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44"/>
        <w:szCs w:val="44"/>
        <w:rtl/>
      </w:rPr>
      <w:alias w:val="Title"/>
      <w:id w:val="77547040"/>
      <w:placeholder>
        <w:docPart w:val="EA3BF45F0FEA4CF9845A563E298DE764"/>
      </w:placeholder>
      <w:dataBinding w:prefixMappings="xmlns:ns0='http://schemas.openxmlformats.org/package/2006/metadata/core-properties' xmlns:ns1='http://purl.org/dc/elements/1.1/'" w:xpath="/ns0:coreProperties[1]/ns1:title[1]" w:storeItemID="{6C3C8BC8-F283-45AE-878A-BAB7291924A1}"/>
      <w:text/>
    </w:sdtPr>
    <w:sdtContent>
      <w:p w:rsidR="00DD5049" w:rsidRDefault="00DD5049" w:rsidP="00DD5049">
        <w:pPr>
          <w:pStyle w:val="Header"/>
          <w:pBdr>
            <w:between w:val="single" w:sz="4" w:space="1" w:color="4F81BD" w:themeColor="accent1"/>
          </w:pBdr>
          <w:spacing w:line="276" w:lineRule="auto"/>
          <w:jc w:val="center"/>
        </w:pPr>
        <w:r w:rsidRPr="00DD5049">
          <w:rPr>
            <w:rFonts w:hint="cs"/>
            <w:sz w:val="44"/>
            <w:szCs w:val="44"/>
            <w:rtl/>
          </w:rPr>
          <w:t>دانشگاه علوم پزشکی اراک</w:t>
        </w:r>
      </w:p>
    </w:sdtContent>
  </w:sdt>
  <w:sdt>
    <w:sdtPr>
      <w:rPr>
        <w:sz w:val="40"/>
        <w:szCs w:val="40"/>
        <w:rtl/>
      </w:rPr>
      <w:alias w:val="Date"/>
      <w:id w:val="77547044"/>
      <w:placeholder>
        <w:docPart w:val="1B0D9249A1B74C0C87BEF8EF31956773"/>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Content>
      <w:p w:rsidR="009162AD" w:rsidRPr="00C6599D" w:rsidRDefault="00DD5049" w:rsidP="00C6599D">
        <w:pPr>
          <w:pStyle w:val="Header"/>
          <w:pBdr>
            <w:between w:val="single" w:sz="4" w:space="1" w:color="4F81BD" w:themeColor="accent1"/>
          </w:pBdr>
          <w:spacing w:line="276" w:lineRule="auto"/>
          <w:jc w:val="center"/>
          <w:rPr>
            <w:sz w:val="40"/>
            <w:szCs w:val="40"/>
          </w:rPr>
        </w:pPr>
        <w:r w:rsidRPr="00DD5049">
          <w:rPr>
            <w:rFonts w:hint="cs"/>
            <w:sz w:val="40"/>
            <w:szCs w:val="40"/>
            <w:rtl/>
          </w:rPr>
          <w:t>آزمایشگاه مرجع</w:t>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1506"/>
  </w:hdrShapeDefaults>
  <w:footnotePr>
    <w:footnote w:id="0"/>
    <w:footnote w:id="1"/>
  </w:footnotePr>
  <w:endnotePr>
    <w:endnote w:id="0"/>
    <w:endnote w:id="1"/>
  </w:endnotePr>
  <w:compat/>
  <w:rsids>
    <w:rsidRoot w:val="009162AD"/>
    <w:rsid w:val="00001879"/>
    <w:rsid w:val="0011534F"/>
    <w:rsid w:val="00211711"/>
    <w:rsid w:val="00221BD4"/>
    <w:rsid w:val="003A7E0F"/>
    <w:rsid w:val="003D1591"/>
    <w:rsid w:val="004F39C8"/>
    <w:rsid w:val="00584EAC"/>
    <w:rsid w:val="005A5649"/>
    <w:rsid w:val="00675678"/>
    <w:rsid w:val="006C4A33"/>
    <w:rsid w:val="00784912"/>
    <w:rsid w:val="007B7EDC"/>
    <w:rsid w:val="008602C2"/>
    <w:rsid w:val="009101CA"/>
    <w:rsid w:val="009162AD"/>
    <w:rsid w:val="00926399"/>
    <w:rsid w:val="0097783B"/>
    <w:rsid w:val="009F3075"/>
    <w:rsid w:val="00A23B58"/>
    <w:rsid w:val="00A52213"/>
    <w:rsid w:val="00AE172E"/>
    <w:rsid w:val="00C01DF6"/>
    <w:rsid w:val="00C6599D"/>
    <w:rsid w:val="00C96000"/>
    <w:rsid w:val="00CF523D"/>
    <w:rsid w:val="00D03BAA"/>
    <w:rsid w:val="00DD5049"/>
    <w:rsid w:val="00F2349E"/>
    <w:rsid w:val="00F66F35"/>
    <w:rsid w:val="00F75844"/>
    <w:rsid w:val="00FF6398"/>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912"/>
    <w:pPr>
      <w:bidi/>
    </w:pPr>
  </w:style>
  <w:style w:type="paragraph" w:styleId="Heading1">
    <w:name w:val="heading 1"/>
    <w:basedOn w:val="Normal"/>
    <w:next w:val="Normal"/>
    <w:link w:val="Heading1Char"/>
    <w:uiPriority w:val="9"/>
    <w:qFormat/>
    <w:rsid w:val="009162AD"/>
    <w:pPr>
      <w:keepNext/>
      <w:keepLines/>
      <w:bidi w:val="0"/>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62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62AD"/>
  </w:style>
  <w:style w:type="paragraph" w:styleId="Footer">
    <w:name w:val="footer"/>
    <w:basedOn w:val="Normal"/>
    <w:link w:val="FooterChar"/>
    <w:uiPriority w:val="99"/>
    <w:semiHidden/>
    <w:unhideWhenUsed/>
    <w:rsid w:val="009162A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162AD"/>
  </w:style>
  <w:style w:type="paragraph" w:styleId="BalloonText">
    <w:name w:val="Balloon Text"/>
    <w:basedOn w:val="Normal"/>
    <w:link w:val="BalloonTextChar"/>
    <w:uiPriority w:val="99"/>
    <w:semiHidden/>
    <w:unhideWhenUsed/>
    <w:rsid w:val="009162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62AD"/>
    <w:rPr>
      <w:rFonts w:ascii="Tahoma" w:hAnsi="Tahoma" w:cs="Tahoma"/>
      <w:sz w:val="16"/>
      <w:szCs w:val="16"/>
    </w:rPr>
  </w:style>
  <w:style w:type="character" w:customStyle="1" w:styleId="Heading1Char">
    <w:name w:val="Heading 1 Char"/>
    <w:basedOn w:val="DefaultParagraphFont"/>
    <w:link w:val="Heading1"/>
    <w:uiPriority w:val="9"/>
    <w:rsid w:val="009162AD"/>
    <w:rPr>
      <w:rFonts w:asciiTheme="majorHAnsi" w:eastAsiaTheme="majorEastAsia" w:hAnsiTheme="majorHAnsi" w:cstheme="majorBidi"/>
      <w:b/>
      <w:bCs/>
      <w:color w:val="365F91" w:themeColor="accent1" w:themeShade="BF"/>
      <w:sz w:val="28"/>
      <w:szCs w:val="28"/>
      <w:lang w:bidi="en-US"/>
    </w:rPr>
  </w:style>
  <w:style w:type="table" w:styleId="TableGrid">
    <w:name w:val="Table Grid"/>
    <w:basedOn w:val="TableNormal"/>
    <w:uiPriority w:val="59"/>
    <w:rsid w:val="009162AD"/>
    <w:pPr>
      <w:spacing w:after="0" w:line="240" w:lineRule="auto"/>
    </w:pPr>
    <w:rPr>
      <w:rFonts w:eastAsiaTheme="minorEastAsia"/>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MediumList2">
    <w:name w:val="Medium List 2"/>
    <w:basedOn w:val="TableNormal"/>
    <w:uiPriority w:val="66"/>
    <w:rsid w:val="00221BD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221BD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styleId="ListParagraph">
    <w:name w:val="List Paragraph"/>
    <w:basedOn w:val="Normal"/>
    <w:uiPriority w:val="34"/>
    <w:qFormat/>
    <w:rsid w:val="00FF639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A3BF45F0FEA4CF9845A563E298DE764"/>
        <w:category>
          <w:name w:val="General"/>
          <w:gallery w:val="placeholder"/>
        </w:category>
        <w:types>
          <w:type w:val="bbPlcHdr"/>
        </w:types>
        <w:behaviors>
          <w:behavior w:val="content"/>
        </w:behaviors>
        <w:guid w:val="{2AF59230-14DA-4374-9891-EA8A337B6659}"/>
      </w:docPartPr>
      <w:docPartBody>
        <w:p w:rsidR="009A6899" w:rsidRDefault="00ED5C1B" w:rsidP="00ED5C1B">
          <w:pPr>
            <w:pStyle w:val="EA3BF45F0FEA4CF9845A563E298DE764"/>
          </w:pPr>
          <w:r>
            <w:t>[Type the document title]</w:t>
          </w:r>
        </w:p>
      </w:docPartBody>
    </w:docPart>
    <w:docPart>
      <w:docPartPr>
        <w:name w:val="1B0D9249A1B74C0C87BEF8EF31956773"/>
        <w:category>
          <w:name w:val="General"/>
          <w:gallery w:val="placeholder"/>
        </w:category>
        <w:types>
          <w:type w:val="bbPlcHdr"/>
        </w:types>
        <w:behaviors>
          <w:behavior w:val="content"/>
        </w:behaviors>
        <w:guid w:val="{808D2893-BB8F-4C47-9656-F1EB29157BB8}"/>
      </w:docPartPr>
      <w:docPartBody>
        <w:p w:rsidR="009A6899" w:rsidRDefault="00ED5C1B" w:rsidP="00ED5C1B">
          <w:pPr>
            <w:pStyle w:val="1B0D9249A1B74C0C87BEF8EF31956773"/>
          </w:pPr>
          <w:r>
            <w:t>[Pick the date]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ED5C1B"/>
    <w:rsid w:val="0018024A"/>
    <w:rsid w:val="001C1607"/>
    <w:rsid w:val="003F2BCF"/>
    <w:rsid w:val="00493C48"/>
    <w:rsid w:val="009A6899"/>
    <w:rsid w:val="00AF70C6"/>
    <w:rsid w:val="00CA6C8E"/>
    <w:rsid w:val="00E75F4D"/>
    <w:rsid w:val="00ED5C1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899"/>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D199C65E82C41DD885024C922266E54">
    <w:name w:val="5D199C65E82C41DD885024C922266E54"/>
    <w:rsid w:val="00ED5C1B"/>
    <w:pPr>
      <w:bidi/>
    </w:pPr>
  </w:style>
  <w:style w:type="paragraph" w:customStyle="1" w:styleId="E4143F7AD1EB47D3A261E84F10D88F65">
    <w:name w:val="E4143F7AD1EB47D3A261E84F10D88F65"/>
    <w:rsid w:val="00ED5C1B"/>
    <w:pPr>
      <w:bidi/>
    </w:pPr>
  </w:style>
  <w:style w:type="paragraph" w:customStyle="1" w:styleId="CCA3F9C4B69B415F8D196FFBED87C6FA">
    <w:name w:val="CCA3F9C4B69B415F8D196FFBED87C6FA"/>
    <w:rsid w:val="00ED5C1B"/>
    <w:pPr>
      <w:bidi/>
    </w:pPr>
  </w:style>
  <w:style w:type="paragraph" w:customStyle="1" w:styleId="003958CD4BB843C891FB88B7624195BF">
    <w:name w:val="003958CD4BB843C891FB88B7624195BF"/>
    <w:rsid w:val="00ED5C1B"/>
    <w:pPr>
      <w:bidi/>
    </w:pPr>
  </w:style>
  <w:style w:type="paragraph" w:customStyle="1" w:styleId="7E4A2F7459104669B74979D1F1EBDDA0">
    <w:name w:val="7E4A2F7459104669B74979D1F1EBDDA0"/>
    <w:rsid w:val="00ED5C1B"/>
    <w:pPr>
      <w:bidi/>
    </w:pPr>
  </w:style>
  <w:style w:type="paragraph" w:customStyle="1" w:styleId="2F58955BC7A443A7A9092B2EA454A88F">
    <w:name w:val="2F58955BC7A443A7A9092B2EA454A88F"/>
    <w:rsid w:val="00ED5C1B"/>
    <w:pPr>
      <w:bidi/>
    </w:pPr>
  </w:style>
  <w:style w:type="paragraph" w:customStyle="1" w:styleId="0A6FEC05E0824C0CB6E23FEB81C50A7B">
    <w:name w:val="0A6FEC05E0824C0CB6E23FEB81C50A7B"/>
    <w:rsid w:val="00ED5C1B"/>
    <w:pPr>
      <w:bidi/>
    </w:pPr>
  </w:style>
  <w:style w:type="paragraph" w:customStyle="1" w:styleId="DD30808DB9DE4F8697EBB0FFFDEA5868">
    <w:name w:val="DD30808DB9DE4F8697EBB0FFFDEA5868"/>
    <w:rsid w:val="00ED5C1B"/>
    <w:pPr>
      <w:bidi/>
    </w:pPr>
  </w:style>
  <w:style w:type="paragraph" w:customStyle="1" w:styleId="062C77F53F344AF79612F8C7DA47839C">
    <w:name w:val="062C77F53F344AF79612F8C7DA47839C"/>
    <w:rsid w:val="00ED5C1B"/>
    <w:pPr>
      <w:bidi/>
    </w:pPr>
  </w:style>
  <w:style w:type="paragraph" w:customStyle="1" w:styleId="1C3343FDF0064C8B99F9A64CD2B914A6">
    <w:name w:val="1C3343FDF0064C8B99F9A64CD2B914A6"/>
    <w:rsid w:val="00ED5C1B"/>
    <w:pPr>
      <w:bidi/>
    </w:pPr>
  </w:style>
  <w:style w:type="paragraph" w:customStyle="1" w:styleId="459F370C0C4C4D96A892345E3570A77D">
    <w:name w:val="459F370C0C4C4D96A892345E3570A77D"/>
    <w:rsid w:val="00ED5C1B"/>
    <w:pPr>
      <w:bidi/>
    </w:pPr>
  </w:style>
  <w:style w:type="paragraph" w:customStyle="1" w:styleId="D267E2DD4B844594A088BC9A50546AD9">
    <w:name w:val="D267E2DD4B844594A088BC9A50546AD9"/>
    <w:rsid w:val="00ED5C1B"/>
    <w:pPr>
      <w:bidi/>
    </w:pPr>
  </w:style>
  <w:style w:type="paragraph" w:customStyle="1" w:styleId="293902C2D029445697AD65603E15DC4B">
    <w:name w:val="293902C2D029445697AD65603E15DC4B"/>
    <w:rsid w:val="00ED5C1B"/>
    <w:pPr>
      <w:bidi/>
    </w:pPr>
  </w:style>
  <w:style w:type="paragraph" w:customStyle="1" w:styleId="D7A2A13339CC424CAB9D04789E25D923">
    <w:name w:val="D7A2A13339CC424CAB9D04789E25D923"/>
    <w:rsid w:val="00ED5C1B"/>
    <w:pPr>
      <w:bidi/>
    </w:pPr>
  </w:style>
  <w:style w:type="paragraph" w:customStyle="1" w:styleId="5CADFA0E057440F19827D8CD75C4B36C">
    <w:name w:val="5CADFA0E057440F19827D8CD75C4B36C"/>
    <w:rsid w:val="00ED5C1B"/>
    <w:pPr>
      <w:bidi/>
    </w:pPr>
  </w:style>
  <w:style w:type="paragraph" w:customStyle="1" w:styleId="1F6E0EF581994C419DC06FFA8C4D57B4">
    <w:name w:val="1F6E0EF581994C419DC06FFA8C4D57B4"/>
    <w:rsid w:val="00ED5C1B"/>
    <w:pPr>
      <w:bidi/>
    </w:pPr>
  </w:style>
  <w:style w:type="paragraph" w:customStyle="1" w:styleId="C069ECFB9F214C00976DD5D96A76E7ED">
    <w:name w:val="C069ECFB9F214C00976DD5D96A76E7ED"/>
    <w:rsid w:val="00ED5C1B"/>
    <w:pPr>
      <w:bidi/>
    </w:pPr>
  </w:style>
  <w:style w:type="paragraph" w:customStyle="1" w:styleId="264C3DEE27FE4012A970250EF2D76698">
    <w:name w:val="264C3DEE27FE4012A970250EF2D76698"/>
    <w:rsid w:val="00ED5C1B"/>
    <w:pPr>
      <w:bidi/>
    </w:pPr>
  </w:style>
  <w:style w:type="paragraph" w:customStyle="1" w:styleId="1C58B4F7A80E4F9ABD662CD9596EDAF9">
    <w:name w:val="1C58B4F7A80E4F9ABD662CD9596EDAF9"/>
    <w:rsid w:val="00ED5C1B"/>
    <w:pPr>
      <w:bidi/>
    </w:pPr>
  </w:style>
  <w:style w:type="paragraph" w:customStyle="1" w:styleId="5D1371342CE64642BCDB0A0D8E729DFA">
    <w:name w:val="5D1371342CE64642BCDB0A0D8E729DFA"/>
    <w:rsid w:val="00ED5C1B"/>
    <w:pPr>
      <w:bidi/>
    </w:pPr>
  </w:style>
  <w:style w:type="paragraph" w:customStyle="1" w:styleId="90E082255EC34D3C89ADA5D1910B3774">
    <w:name w:val="90E082255EC34D3C89ADA5D1910B3774"/>
    <w:rsid w:val="00ED5C1B"/>
    <w:pPr>
      <w:bidi/>
    </w:pPr>
  </w:style>
  <w:style w:type="paragraph" w:customStyle="1" w:styleId="21DCD53CB5324E1DB2DD427AC15B873C">
    <w:name w:val="21DCD53CB5324E1DB2DD427AC15B873C"/>
    <w:rsid w:val="00ED5C1B"/>
    <w:pPr>
      <w:bidi/>
    </w:pPr>
  </w:style>
  <w:style w:type="paragraph" w:customStyle="1" w:styleId="BCBE064763754FA1B31BB8666A3B82AF">
    <w:name w:val="BCBE064763754FA1B31BB8666A3B82AF"/>
    <w:rsid w:val="00ED5C1B"/>
    <w:pPr>
      <w:bidi/>
    </w:pPr>
  </w:style>
  <w:style w:type="paragraph" w:customStyle="1" w:styleId="F2E23AF1341449538C24B4715BDB9B8F">
    <w:name w:val="F2E23AF1341449538C24B4715BDB9B8F"/>
    <w:rsid w:val="00ED5C1B"/>
    <w:pPr>
      <w:bidi/>
    </w:pPr>
  </w:style>
  <w:style w:type="paragraph" w:customStyle="1" w:styleId="EB59EF321A764265BFEE5429FB5A42B7">
    <w:name w:val="EB59EF321A764265BFEE5429FB5A42B7"/>
    <w:rsid w:val="00ED5C1B"/>
    <w:pPr>
      <w:bidi/>
    </w:pPr>
  </w:style>
  <w:style w:type="paragraph" w:customStyle="1" w:styleId="5FD0342EC4194D728BFA3DE264C724BA">
    <w:name w:val="5FD0342EC4194D728BFA3DE264C724BA"/>
    <w:rsid w:val="00ED5C1B"/>
    <w:pPr>
      <w:bidi/>
    </w:pPr>
  </w:style>
  <w:style w:type="paragraph" w:customStyle="1" w:styleId="91635A16E8D44947A5E61D315A53538F">
    <w:name w:val="91635A16E8D44947A5E61D315A53538F"/>
    <w:rsid w:val="00ED5C1B"/>
    <w:pPr>
      <w:bidi/>
    </w:pPr>
  </w:style>
  <w:style w:type="paragraph" w:customStyle="1" w:styleId="DF767A4126FB4C74809FB12E11FE6BB6">
    <w:name w:val="DF767A4126FB4C74809FB12E11FE6BB6"/>
    <w:rsid w:val="00ED5C1B"/>
    <w:pPr>
      <w:bidi/>
    </w:pPr>
  </w:style>
  <w:style w:type="paragraph" w:customStyle="1" w:styleId="A34644CA8FC648CAB055B6E69964D1E6">
    <w:name w:val="A34644CA8FC648CAB055B6E69964D1E6"/>
    <w:rsid w:val="00ED5C1B"/>
    <w:pPr>
      <w:bidi/>
    </w:pPr>
  </w:style>
  <w:style w:type="paragraph" w:customStyle="1" w:styleId="D4F45D3C8A8F48D0BC8198829B017773">
    <w:name w:val="D4F45D3C8A8F48D0BC8198829B017773"/>
    <w:rsid w:val="00ED5C1B"/>
    <w:pPr>
      <w:bidi/>
    </w:pPr>
  </w:style>
  <w:style w:type="paragraph" w:customStyle="1" w:styleId="3722DAAE01744CA384B6064F271A8E7F">
    <w:name w:val="3722DAAE01744CA384B6064F271A8E7F"/>
    <w:rsid w:val="00ED5C1B"/>
    <w:pPr>
      <w:bidi/>
    </w:pPr>
  </w:style>
  <w:style w:type="paragraph" w:customStyle="1" w:styleId="EF67D77F8A254C9D9F201F7BB562B616">
    <w:name w:val="EF67D77F8A254C9D9F201F7BB562B616"/>
    <w:rsid w:val="00ED5C1B"/>
    <w:pPr>
      <w:bidi/>
    </w:pPr>
  </w:style>
  <w:style w:type="paragraph" w:customStyle="1" w:styleId="C056F927F5E14A7CA32270DBAB6B2965">
    <w:name w:val="C056F927F5E14A7CA32270DBAB6B2965"/>
    <w:rsid w:val="00ED5C1B"/>
    <w:pPr>
      <w:bidi/>
    </w:pPr>
  </w:style>
  <w:style w:type="paragraph" w:customStyle="1" w:styleId="F392F67E33734BCDB08C4F377BAAB3ED">
    <w:name w:val="F392F67E33734BCDB08C4F377BAAB3ED"/>
    <w:rsid w:val="00ED5C1B"/>
    <w:pPr>
      <w:bidi/>
    </w:pPr>
  </w:style>
  <w:style w:type="paragraph" w:customStyle="1" w:styleId="4F75CD8791F345E8A6EDC00CBA991304">
    <w:name w:val="4F75CD8791F345E8A6EDC00CBA991304"/>
    <w:rsid w:val="00ED5C1B"/>
    <w:pPr>
      <w:bidi/>
    </w:pPr>
  </w:style>
  <w:style w:type="paragraph" w:customStyle="1" w:styleId="6D6FDA26C4BA45658A13C20F004A9127">
    <w:name w:val="6D6FDA26C4BA45658A13C20F004A9127"/>
    <w:rsid w:val="00ED5C1B"/>
    <w:pPr>
      <w:bidi/>
    </w:pPr>
  </w:style>
  <w:style w:type="paragraph" w:customStyle="1" w:styleId="6C6E726255EB4654BEF2FE2D3F24887F">
    <w:name w:val="6C6E726255EB4654BEF2FE2D3F24887F"/>
    <w:rsid w:val="00ED5C1B"/>
    <w:pPr>
      <w:bidi/>
    </w:pPr>
  </w:style>
  <w:style w:type="paragraph" w:customStyle="1" w:styleId="EA3BF45F0FEA4CF9845A563E298DE764">
    <w:name w:val="EA3BF45F0FEA4CF9845A563E298DE764"/>
    <w:rsid w:val="00ED5C1B"/>
    <w:pPr>
      <w:bidi/>
    </w:pPr>
  </w:style>
  <w:style w:type="paragraph" w:customStyle="1" w:styleId="1B0D9249A1B74C0C87BEF8EF31956773">
    <w:name w:val="1B0D9249A1B74C0C87BEF8EF31956773"/>
    <w:rsid w:val="00ED5C1B"/>
    <w:pPr>
      <w:bidi/>
    </w:pPr>
  </w:style>
  <w:style w:type="paragraph" w:customStyle="1" w:styleId="40F3384C339244F193DD5FF78AAFDB91">
    <w:name w:val="40F3384C339244F193DD5FF78AAFDB91"/>
    <w:rsid w:val="00ED5C1B"/>
    <w:pPr>
      <w:bidi/>
    </w:pPr>
  </w:style>
  <w:style w:type="paragraph" w:customStyle="1" w:styleId="DDB380E84A2A441B98DD5B591FEB958B">
    <w:name w:val="DDB380E84A2A441B98DD5B591FEB958B"/>
    <w:rsid w:val="001C1607"/>
    <w:pPr>
      <w:bidi/>
    </w:pPr>
  </w:style>
  <w:style w:type="paragraph" w:customStyle="1" w:styleId="9FF35329909645C4A06134D5DADDE069">
    <w:name w:val="9FF35329909645C4A06134D5DADDE069"/>
    <w:rsid w:val="001C1607"/>
    <w:pPr>
      <w:bidi/>
    </w:pPr>
  </w:style>
  <w:style w:type="paragraph" w:customStyle="1" w:styleId="7EAA3AF9F0CA40C185580A712B1E454F">
    <w:name w:val="7EAA3AF9F0CA40C185580A712B1E454F"/>
    <w:rsid w:val="001C1607"/>
    <w:pPr>
      <w:bidi/>
    </w:pPr>
  </w:style>
</w:styles>
</file>

<file path=word/glossary/webSettings.xml><?xml version="1.0" encoding="utf-8"?>
<w:webSettings xmlns:r="http://schemas.openxmlformats.org/officeDocument/2006/relationships" xmlns:w="http://schemas.openxmlformats.org/wordprocessingml/2006/main">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آزمایشگاه مرجع</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9E0ACE9-659A-448D-A00C-D0456D508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84</Words>
  <Characters>484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دانشگاه علوم پزشکی اراک</vt:lpstr>
    </vt:vector>
  </TitlesOfParts>
  <Company>ABTAZ PANIZ CO.</Company>
  <LinksUpToDate>false</LinksUpToDate>
  <CharactersWithSpaces>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دانشگاه علوم پزشکی اراک</dc:title>
  <dc:subject>فهرست آزمایشات</dc:subject>
  <dc:creator>123</dc:creator>
  <cp:keywords/>
  <dc:description/>
  <cp:lastModifiedBy>123</cp:lastModifiedBy>
  <cp:revision>3</cp:revision>
  <dcterms:created xsi:type="dcterms:W3CDTF">2011-04-18T08:51:00Z</dcterms:created>
  <dcterms:modified xsi:type="dcterms:W3CDTF">2011-04-18T09:20:00Z</dcterms:modified>
</cp:coreProperties>
</file>